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#11</w:t>
      </w:r>
      <w:r>
        <w:rPr>
          <w:rFonts w:hint="eastAsia" w:eastAsia="宋体"/>
          <w:lang w:val="en-US" w:eastAsia="zh-CN"/>
        </w:rPr>
        <w:t>9-e                      R2-2207647</w:t>
      </w:r>
    </w:p>
    <w:p>
      <w:pPr>
        <w:pStyle w:val="8"/>
        <w:rPr>
          <w:lang w:val="en-GB"/>
        </w:rPr>
      </w:pPr>
      <w:r>
        <w:rPr>
          <w:b/>
          <w:bCs/>
          <w:sz w:val="24"/>
        </w:rPr>
        <w:t>Electronic</w:t>
      </w:r>
      <w:r>
        <w:rPr>
          <w:lang w:val="en-GB"/>
        </w:rPr>
        <w:t xml:space="preserve">, </w:t>
      </w:r>
      <w:r>
        <w:rPr>
          <w:rFonts w:hint="eastAsia" w:eastAsia="宋体"/>
          <w:lang w:val="en-US" w:eastAsia="zh-CN"/>
        </w:rPr>
        <w:t>Aug</w:t>
      </w:r>
      <w:r>
        <w:t xml:space="preserve"> </w:t>
      </w:r>
      <w:r>
        <w:rPr>
          <w:rFonts w:hint="eastAsia" w:eastAsia="宋体"/>
          <w:lang w:val="en-US" w:eastAsia="zh-CN"/>
        </w:rPr>
        <w:t>17</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2</w:t>
      </w:r>
      <w:r>
        <w:rPr>
          <w:rFonts w:hint="eastAsia" w:eastAsia="宋体"/>
          <w:lang w:val="en-US" w:eastAsia="zh-CN"/>
        </w:rPr>
        <w:t>6</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pStyle w:val="22"/>
        <w:keepNext w:val="0"/>
        <w:keepLines w:val="0"/>
        <w:pageBreakBefore w:val="0"/>
        <w:widowControl w:val="0"/>
        <w:tabs>
          <w:tab w:val="left" w:pos="1580"/>
          <w:tab w:val="left" w:pos="2680"/>
          <w:tab w:val="clear" w:pos="1800"/>
          <w:tab w:val="clear" w:pos="9360"/>
        </w:tabs>
        <w:kinsoku/>
        <w:wordWrap/>
        <w:overflowPunct/>
        <w:topLinePunct w:val="0"/>
        <w:autoSpaceDE/>
        <w:autoSpaceDN/>
        <w:bidi w:val="0"/>
        <w:adjustRightInd/>
        <w:snapToGrid w:val="0"/>
        <w:spacing w:after="180"/>
        <w:textAlignment w:val="auto"/>
        <w:rPr>
          <w:rFonts w:hint="default" w:ascii="Arial" w:hAnsi="Arial" w:eastAsia="宋体" w:cs="Arial"/>
          <w:b/>
          <w:bCs/>
          <w:kern w:val="0"/>
          <w:sz w:val="24"/>
          <w:szCs w:val="24"/>
          <w:lang w:val="en-US" w:eastAsia="en-US" w:bidi="ar-SA"/>
        </w:rPr>
      </w:pPr>
      <w:r>
        <w:rPr>
          <w:rFonts w:hint="eastAsia" w:ascii="Arial" w:hAnsi="Arial" w:eastAsia="宋体" w:cs="Arial"/>
          <w:b/>
          <w:bCs/>
          <w:kern w:val="0"/>
          <w:sz w:val="24"/>
          <w:szCs w:val="24"/>
          <w:lang w:val="en-US" w:eastAsia="en-US" w:bidi="ar-SA"/>
        </w:rPr>
        <w:t xml:space="preserve">Title:  </w:t>
      </w:r>
      <w:r>
        <w:rPr>
          <w:rFonts w:hint="eastAsia" w:ascii="Arial" w:hAnsi="Arial" w:eastAsia="宋体" w:cs="Arial"/>
          <w:b/>
          <w:bCs/>
          <w:kern w:val="0"/>
          <w:sz w:val="24"/>
          <w:szCs w:val="24"/>
          <w:lang w:val="en-US" w:eastAsia="zh-CN" w:bidi="ar-SA"/>
        </w:rPr>
        <w:t xml:space="preserve"> </w:t>
      </w:r>
      <w:r>
        <w:rPr>
          <w:rFonts w:hint="eastAsia" w:eastAsia="宋体" w:cs="Arial"/>
          <w:b/>
          <w:bCs/>
          <w:kern w:val="0"/>
          <w:sz w:val="24"/>
          <w:szCs w:val="24"/>
          <w:lang w:val="en-US" w:eastAsia="zh-CN" w:bidi="ar-SA"/>
        </w:rPr>
        <w:t xml:space="preserve">         </w:t>
      </w:r>
      <w:r>
        <w:rPr>
          <w:rFonts w:hint="eastAsia" w:ascii="Arial" w:hAnsi="Arial" w:eastAsia="宋体" w:cs="Arial"/>
          <w:b/>
          <w:bCs/>
          <w:kern w:val="0"/>
          <w:sz w:val="24"/>
          <w:szCs w:val="24"/>
          <w:lang w:val="en-US" w:eastAsia="en-US" w:bidi="ar-SA"/>
        </w:rPr>
        <w:t>Discussion on disabling of HARQ feedback for IoT-NTN</w:t>
      </w:r>
    </w:p>
    <w:p>
      <w:pPr>
        <w:tabs>
          <w:tab w:val="left" w:pos="1979"/>
          <w:tab w:val="left" w:pos="2100"/>
          <w:tab w:val="left" w:pos="2520"/>
          <w:tab w:val="left" w:pos="4180"/>
        </w:tabs>
        <w:spacing w:after="180"/>
        <w:rPr>
          <w:rFonts w:hint="eastAsia" w:cs="Arial"/>
          <w:b/>
          <w:bCs/>
          <w:sz w:val="24"/>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cs="Arial"/>
          <w:b/>
          <w:bCs/>
          <w:sz w:val="24"/>
          <w:lang w:val="en-US" w:eastAsia="zh-CN"/>
        </w:rPr>
        <w:t xml:space="preserve"> </w:t>
      </w:r>
    </w:p>
    <w:p>
      <w:pPr>
        <w:pStyle w:val="2"/>
        <w:numPr>
          <w:ilvl w:val="0"/>
          <w:numId w:val="3"/>
        </w:numPr>
      </w:pPr>
      <w:bookmarkStart w:id="0" w:name="_Ref488331639"/>
      <w:r>
        <w:t>Introduction</w:t>
      </w:r>
      <w:bookmarkEnd w:id="0"/>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r>
        <w:rPr>
          <w:rFonts w:hint="default" w:ascii="Times New Roman" w:hAnsi="Times New Roman" w:cs="Times New Roman"/>
          <w:sz w:val="22"/>
          <w:szCs w:val="22"/>
        </w:rPr>
        <w:t>At the RAN#95e and RAN#96e meetings, a new Work Item was approved for IoT NTN</w:t>
      </w:r>
      <w:r>
        <w:rPr>
          <w:rFonts w:hint="default" w:ascii="Times New Roman" w:hAnsi="Times New Roman" w:eastAsia="宋体" w:cs="Times New Roman"/>
          <w:sz w:val="22"/>
          <w:szCs w:val="22"/>
          <w:lang w:val="en-US" w:eastAsia="zh-CN"/>
        </w:rPr>
        <w:t xml:space="preserve">. The WID objectives concerning RAN2 </w:t>
      </w:r>
      <w:r>
        <w:rPr>
          <w:rFonts w:hint="default" w:ascii="Times New Roman" w:hAnsi="Times New Roman" w:eastAsia="宋体" w:cs="Times New Roman"/>
          <w:color w:val="000000"/>
          <w:sz w:val="22"/>
          <w:szCs w:val="22"/>
          <w:lang w:val="en-US" w:eastAsia="zh-CN"/>
        </w:rPr>
        <w:t>are listed</w:t>
      </w:r>
      <w:r>
        <w:rPr>
          <w:rFonts w:hint="default" w:ascii="Times New Roman" w:hAnsi="Times New Roman" w:eastAsia="Arial" w:cs="Times New Roman"/>
          <w:color w:val="000000"/>
          <w:sz w:val="22"/>
          <w:szCs w:val="22"/>
        </w:rPr>
        <w:t xml:space="preserve"> in the table below:</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Performance Enhancements:</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Disabling of HARQ feedback to mitigate impact of HARQ stalling on UE data rates [RAN1,RAN2]</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Mobility Enhancements:</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Support of neighbour cell</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highlight w:val="none"/>
              </w:rPr>
            </w:pPr>
            <w:r>
              <w:rPr>
                <w:rFonts w:hint="default" w:ascii="Times New Roman" w:hAnsi="Times New Roman" w:cs="Times New Roman"/>
                <w:sz w:val="21"/>
              </w:rPr>
              <w:t xml:space="preserve"> mea</w:t>
            </w:r>
            <w:r>
              <w:rPr>
                <w:rFonts w:hint="default" w:ascii="Times New Roman" w:hAnsi="Times New Roman" w:cs="Times New Roman"/>
                <w:sz w:val="21"/>
                <w:highlight w:val="none"/>
              </w:rPr>
              <w:t>surements and corresponding measurement triggering before RLF, using Rel</w:t>
            </w:r>
            <w:r>
              <w:rPr>
                <w:rFonts w:hint="default" w:ascii="Times New Roman" w:hAnsi="Times New Roman" w:cs="Times New Roman"/>
                <w:sz w:val="21"/>
                <w:highlight w:val="none"/>
              </w:rPr>
              <w:noBreakHyphen/>
            </w:r>
            <w:r>
              <w:rPr>
                <w:rFonts w:hint="default" w:ascii="Times New Roman" w:hAnsi="Times New Roman" w:cs="Times New Roman"/>
                <w:sz w:val="21"/>
                <w:highlight w:val="none"/>
              </w:rPr>
              <w:t>17 (TN) NB-IoT, eMTC as a baseline. [RAN2]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highlight w:val="none"/>
              </w:rPr>
              <w:t>-</w:t>
            </w:r>
            <w:r>
              <w:rPr>
                <w:rFonts w:hint="default" w:ascii="Times New Roman" w:hAnsi="Times New Roman" w:cs="Times New Roman"/>
                <w:sz w:val="21"/>
                <w:highlight w:val="none"/>
              </w:rPr>
              <w:tab/>
            </w:r>
            <w:r>
              <w:rPr>
                <w:rFonts w:hint="default" w:ascii="Times New Roman" w:hAnsi="Times New Roman" w:cs="Times New Roman"/>
                <w:sz w:val="21"/>
                <w:highlight w:val="none"/>
              </w:rPr>
              <w:t>Re-use the solutions introduced in Rel-17 NR NTN for mobility enhancements for eMTC, with minimum necessary changes to adapt them to eMTC [</w:t>
            </w:r>
            <w:r>
              <w:rPr>
                <w:rFonts w:hint="default" w:ascii="Times New Roman" w:hAnsi="Times New Roman" w:cs="Times New Roman"/>
                <w:sz w:val="21"/>
              </w:rPr>
              <w:t>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Discontinuous coverage:</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Study and specify, if needed, mobility management enhancements and power saving enhancements for discontinuous coverage, taking into account the conclusions from the SA2 study FS_5GSAT_Ph2.  [RAN2, RAN3].</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sz w:val="20"/>
          <w:lang w:val="en-US" w:eastAsia="zh-CN"/>
        </w:rPr>
        <w:t>d</w:t>
      </w:r>
      <w:r>
        <w:rPr>
          <w:rFonts w:hint="default" w:ascii="Times New Roman" w:hAnsi="Times New Roman" w:cs="Times New Roman"/>
          <w:sz w:val="20"/>
        </w:rPr>
        <w:t>isabling of HARQ feedback</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 xml:space="preserve">Discussion </w:t>
      </w:r>
    </w:p>
    <w:p>
      <w:pPr>
        <w:pStyle w:val="3"/>
        <w:numPr>
          <w:ilvl w:val="0"/>
          <w:numId w:val="0"/>
        </w:numPr>
        <w:bidi w:val="0"/>
        <w:ind w:leftChars="0"/>
      </w:pPr>
      <w:r>
        <w:rPr>
          <w:rFonts w:hint="eastAsia"/>
          <w:lang w:val="en-US" w:eastAsia="zh-CN"/>
        </w:rPr>
        <w:t xml:space="preserve">2.1 </w:t>
      </w:r>
      <w:r>
        <w:t>Performance Enhancements</w:t>
      </w:r>
      <w:r>
        <w:rPr>
          <w:rFonts w:hint="eastAsia" w:eastAsia="宋体"/>
          <w:lang w:val="en-US" w:eastAsia="zh-CN"/>
        </w:rPr>
        <w:t xml:space="preserve"> </w:t>
      </w:r>
      <w:r>
        <w:t>Enhancements</w:t>
      </w:r>
    </w:p>
    <w:p>
      <w:pPr>
        <w:numPr>
          <w:ilvl w:val="0"/>
          <w:numId w:val="0"/>
        </w:numPr>
        <w:ind w:leftChars="0"/>
        <w:rPr>
          <w:lang w:val="en-GB" w:eastAsia="en-GB"/>
        </w:rPr>
      </w:pP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In last RAN1#109e meeting, there have been some agreements listed below on d</w:t>
      </w:r>
      <w:r>
        <w:rPr>
          <w:rFonts w:hint="default" w:ascii="Times New Roman" w:hAnsi="Times New Roman" w:cs="Times New Roman"/>
        </w:rPr>
        <w:t>isabling of HARQ feedback</w:t>
      </w:r>
      <w:r>
        <w:rPr>
          <w:rFonts w:hint="default" w:ascii="Times New Roman" w:hAnsi="Times New Roman" w:eastAsia="宋体" w:cs="Times New Roman"/>
          <w:lang w:val="en-US" w:eastAsia="zh-CN"/>
        </w:rPr>
        <w:t>:</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val="0"/>
              <w:suppressLineNumbers w:val="0"/>
              <w:spacing w:beforeAutospacing="0" w:after="0" w:afterAutospacing="0"/>
              <w:ind w:left="0" w:right="0"/>
              <w:jc w:val="both"/>
              <w:rPr>
                <w:rFonts w:hint="default" w:ascii="Times New Roman" w:hAnsi="Times New Roman" w:cs="Times New Roman"/>
                <w:sz w:val="20"/>
                <w:szCs w:val="20"/>
              </w:rPr>
            </w:pPr>
            <w:r>
              <w:rPr>
                <w:rFonts w:hint="default" w:ascii="Times New Roman" w:hAnsi="Times New Roman" w:cs="Times New Roman"/>
                <w:sz w:val="20"/>
                <w:szCs w:val="20"/>
                <w:highlight w:val="green"/>
                <w:lang w:eastAsia="zh-CN"/>
              </w:rPr>
              <w:t>Agreement</w:t>
            </w:r>
          </w:p>
          <w:p>
            <w:pPr>
              <w:keepNext w:val="0"/>
              <w:keepLines w:val="0"/>
              <w:widowControl w:val="0"/>
              <w:suppressLineNumbers w:val="0"/>
              <w:spacing w:beforeAutospacing="0" w:after="0" w:afterAutospacing="0"/>
              <w:ind w:left="0" w:right="0"/>
              <w:jc w:val="both"/>
              <w:rPr>
                <w:rFonts w:hint="default" w:ascii="Times New Roman" w:hAnsi="Times New Roman" w:cs="Times New Roman"/>
                <w:sz w:val="20"/>
                <w:szCs w:val="20"/>
                <w:lang w:eastAsia="zh-CN"/>
              </w:rPr>
            </w:pPr>
            <w:r>
              <w:rPr>
                <w:rFonts w:hint="default" w:ascii="Times New Roman" w:hAnsi="Times New Roman" w:cs="Times New Roman"/>
                <w:color w:val="000000"/>
                <w:sz w:val="20"/>
                <w:szCs w:val="20"/>
                <w:lang w:eastAsia="zh-CN"/>
              </w:rPr>
              <w:t xml:space="preserve">For IoT NTN, to configure/indicate </w:t>
            </w:r>
            <w:r>
              <w:rPr>
                <w:rFonts w:hint="default" w:ascii="Times New Roman" w:hAnsi="Times New Roman" w:cs="Times New Roman"/>
                <w:sz w:val="20"/>
                <w:szCs w:val="20"/>
                <w:lang w:eastAsia="zh-CN"/>
              </w:rPr>
              <w:t xml:space="preserve">enabling/disabling on </w:t>
            </w:r>
            <w:r>
              <w:rPr>
                <w:rFonts w:hint="default" w:ascii="Times New Roman" w:hAnsi="Times New Roman" w:cs="Times New Roman"/>
                <w:sz w:val="20"/>
                <w:szCs w:val="20"/>
              </w:rPr>
              <w:t xml:space="preserve">HARQ feedback </w:t>
            </w:r>
            <w:r>
              <w:rPr>
                <w:rFonts w:hint="default" w:ascii="Times New Roman" w:hAnsi="Times New Roman" w:cs="Times New Roman"/>
                <w:sz w:val="20"/>
                <w:szCs w:val="20"/>
                <w:lang w:eastAsia="zh-CN"/>
              </w:rPr>
              <w:t>for downlink transmission, one or more of the following options can be considered:</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Option 1: per HARQ process via UE specific RRC signaling</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Option 2: per HARQ process via SIB signaling</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 xml:space="preserve">Option 3: </w:t>
            </w:r>
            <w:bookmarkStart w:id="1" w:name="OLE_LINK2"/>
            <w:r>
              <w:rPr>
                <w:rFonts w:hint="default" w:ascii="Times New Roman" w:hAnsi="Times New Roman" w:cs="Times New Roman"/>
                <w:sz w:val="20"/>
                <w:lang w:val="en-US"/>
              </w:rPr>
              <w:t>explicitly indicated by DCI</w:t>
            </w:r>
            <w:bookmarkEnd w:id="1"/>
            <w:r>
              <w:rPr>
                <w:rFonts w:hint="default" w:ascii="Times New Roman" w:hAnsi="Times New Roman" w:cs="Times New Roman"/>
                <w:sz w:val="20"/>
                <w:lang w:val="en-US"/>
              </w:rPr>
              <w:t xml:space="preserve"> (e.g., new field or reusing existing field)</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Option 4: implicitly determined by existing configured/indicated parameter(s) (e.g., repetition number, TBS)</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Option 5: per HARQ process via MAC CE</w:t>
            </w:r>
          </w:p>
          <w:p>
            <w:pPr>
              <w:pStyle w:val="19"/>
              <w:keepNext w:val="0"/>
              <w:keepLines w:val="0"/>
              <w:widowControl w:val="0"/>
              <w:numPr>
                <w:ilvl w:val="0"/>
                <w:numId w:val="4"/>
              </w:numPr>
              <w:suppressLineNumbers w:val="0"/>
              <w:spacing w:beforeAutospacing="0" w:after="0" w:afterAutospacing="0"/>
              <w:ind w:left="714" w:right="0" w:hanging="357"/>
              <w:jc w:val="both"/>
              <w:rPr>
                <w:rFonts w:hint="default" w:ascii="Times New Roman" w:hAnsi="Times New Roman" w:cs="Times New Roman"/>
                <w:sz w:val="20"/>
                <w:lang w:val="en-US"/>
              </w:rPr>
            </w:pPr>
            <w:r>
              <w:rPr>
                <w:rFonts w:hint="default" w:ascii="Times New Roman" w:hAnsi="Times New Roman" w:cs="Times New Roman"/>
                <w:sz w:val="20"/>
                <w:lang w:val="en-US"/>
              </w:rPr>
              <w:t>Other options or combinations are not excluded</w:t>
            </w:r>
          </w:p>
          <w:p>
            <w:pPr>
              <w:keepNext w:val="0"/>
              <w:keepLines w:val="0"/>
              <w:widowControl w:val="0"/>
              <w:suppressLineNumbers w:val="0"/>
              <w:spacing w:beforeAutospacing="0" w:after="0" w:afterAutospacing="0"/>
              <w:ind w:left="0" w:right="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Option(s) for eMTC and NBIoT can be separately discussed.</w:t>
            </w:r>
          </w:p>
          <w:p>
            <w:pPr>
              <w:keepNext w:val="0"/>
              <w:keepLines w:val="0"/>
              <w:widowControl w:val="0"/>
              <w:suppressLineNumbers w:val="0"/>
              <w:spacing w:beforeAutospacing="0" w:after="0" w:afterAutospacing="0"/>
              <w:ind w:left="0" w:right="0"/>
              <w:jc w:val="both"/>
              <w:rPr>
                <w:rFonts w:hint="default" w:ascii="Times New Roman" w:hAnsi="Times New Roman" w:cs="Times New Roman"/>
                <w:bCs/>
                <w:sz w:val="20"/>
                <w:lang w:eastAsia="zh-CN"/>
              </w:rPr>
            </w:pPr>
          </w:p>
          <w:p>
            <w:pPr>
              <w:keepNext w:val="0"/>
              <w:keepLines w:val="0"/>
              <w:widowControl w:val="0"/>
              <w:suppressLineNumbers w:val="0"/>
              <w:spacing w:beforeAutospacing="0" w:after="0" w:afterAutospacing="0"/>
              <w:ind w:left="0" w:right="0"/>
              <w:jc w:val="both"/>
              <w:rPr>
                <w:rFonts w:hint="default" w:ascii="Times New Roman" w:hAnsi="Times New Roman" w:cs="Times New Roman"/>
                <w:bCs/>
                <w:sz w:val="20"/>
                <w:szCs w:val="20"/>
              </w:rPr>
            </w:pPr>
            <w:r>
              <w:rPr>
                <w:rFonts w:hint="default" w:ascii="Times New Roman" w:hAnsi="Times New Roman" w:cs="Times New Roman"/>
                <w:bCs/>
                <w:color w:val="000000"/>
                <w:sz w:val="20"/>
                <w:szCs w:val="20"/>
                <w:highlight w:val="green"/>
                <w:lang w:eastAsia="zh-CN"/>
              </w:rPr>
              <w:t>Agreement</w:t>
            </w:r>
          </w:p>
          <w:p>
            <w:pPr>
              <w:keepNext w:val="0"/>
              <w:keepLines w:val="0"/>
              <w:widowControl w:val="0"/>
              <w:suppressLineNumbers w:val="0"/>
              <w:spacing w:beforeAutospacing="0" w:after="0" w:afterAutospacing="0"/>
              <w:ind w:left="0" w:right="0"/>
              <w:jc w:val="both"/>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For IoT NTN, further study the potential issues due to enabling/disabling on HARQ feedback for downlink transmission</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A: SPS PDSCH</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B: (N)PDSCH/(N)PDCCH scheduling restriction</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C: HARQ feedback for scheduling multiple TB</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D: HARQ bundling for eMTC HD-FDD</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F: NPRACH capacity</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Issue G: Serving cell/satellite change during data transfer (FFS: for eMTC and/or NB-IoT)</w:t>
            </w:r>
          </w:p>
          <w:p>
            <w:pPr>
              <w:pStyle w:val="19"/>
              <w:keepNext w:val="0"/>
              <w:keepLines w:val="0"/>
              <w:widowControl w:val="0"/>
              <w:numPr>
                <w:ilvl w:val="0"/>
                <w:numId w:val="5"/>
              </w:numPr>
              <w:suppressLineNumbers w:val="0"/>
              <w:overflowPunct/>
              <w:autoSpaceDE/>
              <w:autoSpaceDN/>
              <w:adjustRightInd/>
              <w:spacing w:beforeAutospacing="0" w:after="0" w:afterAutospacing="0"/>
              <w:ind w:left="720" w:right="0" w:hanging="360"/>
              <w:contextualSpacing w:val="0"/>
              <w:jc w:val="both"/>
              <w:textAlignment w:val="auto"/>
              <w:rPr>
                <w:rFonts w:hint="default" w:ascii="Times New Roman" w:hAnsi="Times New Roman" w:eastAsia="MS PGothic" w:cs="Times New Roman"/>
                <w:sz w:val="20"/>
                <w:lang w:val="en-US"/>
              </w:rPr>
            </w:pPr>
            <w:r>
              <w:rPr>
                <w:rFonts w:hint="default" w:ascii="Times New Roman" w:hAnsi="Times New Roman" w:eastAsia="MS PGothic" w:cs="Times New Roman"/>
                <w:sz w:val="20"/>
                <w:lang w:val="en-US"/>
              </w:rPr>
              <w:t>Other issues are not excluded</w:t>
            </w:r>
          </w:p>
          <w:p>
            <w:pPr>
              <w:keepNext w:val="0"/>
              <w:keepLines w:val="0"/>
              <w:widowControl w:val="0"/>
              <w:suppressLineNumbers w:val="0"/>
              <w:spacing w:beforeAutospacing="0" w:after="0" w:afterAutospacing="0"/>
              <w:ind w:left="0" w:right="0"/>
              <w:jc w:val="both"/>
              <w:rPr>
                <w:rFonts w:hint="eastAsia" w:eastAsia="宋体"/>
                <w:sz w:val="20"/>
                <w:vertAlign w:val="baseline"/>
                <w:lang w:val="en-US" w:eastAsia="zh-CN"/>
              </w:rPr>
            </w:pPr>
            <w:r>
              <w:rPr>
                <w:rFonts w:hint="default" w:ascii="Times New Roman" w:hAnsi="Times New Roman" w:cs="Times New Roman"/>
                <w:sz w:val="20"/>
                <w:szCs w:val="20"/>
                <w:lang w:eastAsia="zh-CN"/>
              </w:rPr>
              <w:t>Note: The “Issues” in common for eMTC and NB-IoT can be separately discussed.</w:t>
            </w:r>
          </w:p>
        </w:tc>
      </w:tr>
    </w:tbl>
    <w:p>
      <w:pPr>
        <w:numPr>
          <w:ilvl w:val="0"/>
          <w:numId w:val="0"/>
        </w:numPr>
        <w:ind w:leftChars="0"/>
        <w:rPr>
          <w:rFonts w:hint="eastAsia" w:eastAsia="宋体"/>
          <w:lang w:val="en-US" w:eastAsia="zh-CN"/>
        </w:rPr>
      </w:pPr>
    </w:p>
    <w:p>
      <w:pPr>
        <w:keepNext w:val="0"/>
        <w:keepLines w:val="0"/>
        <w:pageBreakBefore w:val="0"/>
        <w:widowControl/>
        <w:kinsoku w:val="0"/>
        <w:wordWrap/>
        <w:overflowPunct/>
        <w:topLinePunct w:val="0"/>
        <w:autoSpaceDE/>
        <w:autoSpaceDN/>
        <w:bidi w:val="0"/>
        <w:adjustRightInd/>
        <w:snapToGrid/>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It</w:t>
      </w:r>
      <w:r>
        <w:rPr>
          <w:rFonts w:hint="eastAsia" w:ascii="Times New Roman" w:hAnsi="Times New Roman" w:cs="Times New Roman"/>
          <w:sz w:val="20"/>
          <w:lang w:val="en-US" w:eastAsia="zh-CN"/>
        </w:rPr>
        <w:t xml:space="preserve"> has</w:t>
      </w:r>
      <w:r>
        <w:rPr>
          <w:rFonts w:hint="default" w:ascii="Times New Roman" w:hAnsi="Times New Roman" w:cs="Times New Roman"/>
          <w:sz w:val="20"/>
          <w:lang w:val="en-US" w:eastAsia="zh-CN"/>
        </w:rPr>
        <w:t xml:space="preserve"> proposed many </w:t>
      </w:r>
      <w:r>
        <w:rPr>
          <w:rFonts w:hint="default" w:ascii="Times New Roman" w:hAnsi="Times New Roman" w:cs="Times New Roman"/>
          <w:sz w:val="20"/>
          <w:lang w:eastAsia="zh-CN"/>
        </w:rPr>
        <w:t xml:space="preserve">options </w:t>
      </w:r>
      <w:r>
        <w:rPr>
          <w:rFonts w:hint="eastAsia" w:ascii="Times New Roman" w:hAnsi="Times New Roman" w:cs="Times New Roman"/>
          <w:sz w:val="20"/>
          <w:lang w:val="en-US" w:eastAsia="zh-CN"/>
        </w:rPr>
        <w:t xml:space="preserve">in RAN1 </w:t>
      </w:r>
      <w:r>
        <w:rPr>
          <w:rFonts w:hint="default" w:ascii="Times New Roman" w:hAnsi="Times New Roman" w:cs="Times New Roman"/>
          <w:sz w:val="20"/>
          <w:lang w:val="en-US" w:eastAsia="zh-CN"/>
        </w:rPr>
        <w:t xml:space="preserve">on how to disable HARQ feedback </w:t>
      </w:r>
      <w:r>
        <w:rPr>
          <w:rFonts w:hint="default" w:ascii="Times New Roman" w:hAnsi="Times New Roman" w:cs="Times New Roman"/>
          <w:sz w:val="20"/>
          <w:lang w:eastAsia="zh-CN"/>
        </w:rPr>
        <w:t>for downlink transmission</w:t>
      </w:r>
      <w:r>
        <w:rPr>
          <w:rFonts w:hint="default" w:ascii="Times New Roman" w:hAnsi="Times New Roman" w:cs="Times New Roman"/>
          <w:sz w:val="20"/>
          <w:lang w:val="en-US" w:eastAsia="zh-CN"/>
        </w:rPr>
        <w:t>. This topic has already been discussed in R17 NR-NTN and the option</w:t>
      </w:r>
      <w:r>
        <w:rPr>
          <w:rFonts w:hint="eastAsia" w:ascii="Times New Roman" w:hAnsi="Times New Roman" w:cs="Times New Roman"/>
          <w:sz w:val="20"/>
          <w:lang w:val="en-US" w:eastAsia="zh-CN"/>
        </w:rPr>
        <w:t xml:space="preserve"> </w:t>
      </w:r>
      <w:r>
        <w:rPr>
          <w:rFonts w:hint="default" w:ascii="Times New Roman" w:hAnsi="Times New Roman" w:cs="Times New Roman"/>
          <w:sz w:val="20"/>
          <w:lang w:val="en-US" w:eastAsia="zh-CN"/>
        </w:rPr>
        <w:t>1</w:t>
      </w:r>
      <w:r>
        <w:rPr>
          <w:rFonts w:hint="eastAsia" w:ascii="Times New Roman" w:hAnsi="Times New Roman" w:cs="Times New Roman"/>
          <w:sz w:val="20"/>
          <w:lang w:val="en-US" w:eastAsia="zh-CN"/>
        </w:rPr>
        <w:t xml:space="preserve"> i.e. </w:t>
      </w:r>
      <w:r>
        <w:rPr>
          <w:rFonts w:hint="default" w:ascii="Times New Roman" w:hAnsi="Times New Roman" w:cs="Times New Roman"/>
          <w:sz w:val="20"/>
          <w:lang w:val="en-US"/>
        </w:rPr>
        <w:t>per HARQ process via UE specific RRC signaling</w:t>
      </w:r>
      <w:r>
        <w:rPr>
          <w:rFonts w:hint="default" w:ascii="Times New Roman" w:hAnsi="Times New Roman" w:cs="Times New Roman"/>
          <w:sz w:val="20"/>
          <w:lang w:val="en-US" w:eastAsia="zh-CN"/>
        </w:rPr>
        <w:t xml:space="preserve"> has been</w:t>
      </w:r>
      <w:bookmarkStart w:id="3" w:name="_GoBack"/>
      <w:bookmarkEnd w:id="3"/>
      <w:r>
        <w:rPr>
          <w:rFonts w:hint="default" w:ascii="Times New Roman" w:hAnsi="Times New Roman" w:cs="Times New Roman"/>
          <w:sz w:val="20"/>
          <w:lang w:val="en-US" w:eastAsia="zh-CN"/>
        </w:rPr>
        <w:t xml:space="preserve"> accepted by NR-NTN</w:t>
      </w:r>
      <w:r>
        <w:rPr>
          <w:rFonts w:hint="eastAsia" w:ascii="Times New Roman" w:hAnsi="Times New Roman" w:cs="Times New Roman"/>
          <w:sz w:val="20"/>
          <w:lang w:val="en-US" w:eastAsia="zh-CN"/>
        </w:rPr>
        <w:t xml:space="preserve">. </w:t>
      </w:r>
      <w:r>
        <w:rPr>
          <w:rFonts w:hint="default" w:ascii="Times New Roman" w:hAnsi="Times New Roman" w:cs="Times New Roman"/>
          <w:sz w:val="20"/>
          <w:lang w:val="en-US" w:eastAsia="zh-CN"/>
        </w:rPr>
        <w:t>A</w:t>
      </w:r>
      <w:r>
        <w:rPr>
          <w:rFonts w:hint="eastAsia" w:ascii="Times New Roman" w:hAnsi="Times New Roman" w:cs="Times New Roman"/>
          <w:sz w:val="20"/>
          <w:lang w:val="en-US" w:eastAsia="zh-CN"/>
        </w:rPr>
        <w:t>ccording to</w:t>
      </w:r>
      <w:r>
        <w:rPr>
          <w:rFonts w:hint="default" w:ascii="Times New Roman" w:hAnsi="Times New Roman" w:cs="Times New Roman"/>
          <w:sz w:val="20"/>
          <w:lang w:val="en-US" w:eastAsia="zh-CN"/>
        </w:rPr>
        <w:t xml:space="preserve"> our understanding, the HARQ process of eMTC is more like NR</w:t>
      </w:r>
      <w:r>
        <w:rPr>
          <w:rFonts w:hint="eastAsia" w:ascii="Times New Roman" w:hAnsi="Times New Roman" w:cs="Times New Roman"/>
          <w:sz w:val="20"/>
          <w:lang w:val="en-US" w:eastAsia="zh-CN"/>
        </w:rPr>
        <w:t>,</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which</w:t>
      </w:r>
      <w:r>
        <w:rPr>
          <w:rFonts w:hint="default" w:ascii="Times New Roman" w:hAnsi="Times New Roman" w:cs="Times New Roman"/>
          <w:sz w:val="20"/>
          <w:lang w:val="en-US" w:eastAsia="zh-CN"/>
        </w:rPr>
        <w:t xml:space="preserve"> supports at most 14 HARQ processes in FDD, so the agreed solution for NR-NTN can be considered as baseline for eMTC. </w:t>
      </w:r>
      <w:r>
        <w:rPr>
          <w:rFonts w:hint="eastAsia" w:ascii="Times New Roman" w:hAnsi="Times New Roman" w:cs="Times New Roman"/>
          <w:sz w:val="20"/>
          <w:lang w:val="en-US" w:eastAsia="zh-CN"/>
        </w:rPr>
        <w:t xml:space="preserve">In this way the data such as RRC signaling or MAC CE command that need high reliability can use the enabled HARQ process while the data such </w:t>
      </w:r>
      <w:bookmarkStart w:id="2" w:name="OLE_LINK1"/>
      <w:r>
        <w:rPr>
          <w:rFonts w:hint="eastAsia" w:ascii="Times New Roman" w:hAnsi="Times New Roman" w:cs="Times New Roman"/>
          <w:sz w:val="20"/>
          <w:lang w:val="en-US" w:eastAsia="zh-CN"/>
        </w:rPr>
        <w:t>as service traffic</w:t>
      </w:r>
      <w:bookmarkEnd w:id="2"/>
      <w:r>
        <w:rPr>
          <w:rFonts w:hint="eastAsia" w:ascii="Times New Roman" w:hAnsi="Times New Roman" w:cs="Times New Roman"/>
          <w:sz w:val="20"/>
          <w:lang w:val="en-US" w:eastAsia="zh-CN"/>
        </w:rPr>
        <w:t xml:space="preserve"> that need high data rate can use the disabled HARQ process.</w:t>
      </w:r>
    </w:p>
    <w:p>
      <w:pPr>
        <w:keepNext w:val="0"/>
        <w:keepLines w:val="0"/>
        <w:pageBreakBefore w:val="0"/>
        <w:widowControl/>
        <w:kinsoku w:val="0"/>
        <w:wordWrap/>
        <w:overflowPunct/>
        <w:topLinePunct w:val="0"/>
        <w:autoSpaceDE/>
        <w:autoSpaceDN/>
        <w:bidi w:val="0"/>
        <w:adjustRightInd/>
        <w:snapToGrid/>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However f</w:t>
      </w:r>
      <w:r>
        <w:rPr>
          <w:rFonts w:hint="default" w:ascii="Times New Roman" w:hAnsi="Times New Roman" w:cs="Times New Roman"/>
          <w:sz w:val="20"/>
          <w:lang w:val="en-US" w:eastAsia="zh-CN"/>
        </w:rPr>
        <w:t>or NB-IoT, to reduce cost and complexity it supports at most 2 HARQ processes(only when the UE supports</w:t>
      </w:r>
      <w:r>
        <w:rPr>
          <w:rFonts w:hint="eastAsia" w:ascii="Times New Roman" w:hAnsi="Times New Roman" w:cs="Times New Roman"/>
          <w:sz w:val="20"/>
          <w:lang w:val="en-US" w:eastAsia="zh-CN"/>
        </w:rPr>
        <w:t xml:space="preserve"> </w:t>
      </w:r>
      <w:r>
        <w:rPr>
          <w:rFonts w:hint="default" w:ascii="Times New Roman" w:hAnsi="Times New Roman" w:cs="Times New Roman"/>
          <w:sz w:val="20"/>
          <w:lang w:eastAsia="ja-JP"/>
        </w:rPr>
        <w:t xml:space="preserve">twoHARQ-Processes-r14 or the UE is configured with </w:t>
      </w:r>
      <w:r>
        <w:rPr>
          <w:rFonts w:hint="default" w:ascii="Times New Roman" w:hAnsi="Times New Roman" w:cs="Times New Roman"/>
          <w:sz w:val="20"/>
        </w:rPr>
        <w:t>higher layer parameter npdsch-MultiTB-Config</w:t>
      </w:r>
      <w:r>
        <w:rPr>
          <w:rFonts w:hint="default" w:ascii="Times New Roman" w:hAnsi="Times New Roman" w:cs="Times New Roman"/>
          <w:sz w:val="20"/>
          <w:lang w:val="en-US" w:eastAsia="zh-CN"/>
        </w:rPr>
        <w:t>)</w:t>
      </w:r>
      <w:r>
        <w:rPr>
          <w:rFonts w:hint="eastAsia" w:ascii="Times New Roman" w:hAnsi="Times New Roman" w:cs="Times New Roman"/>
          <w:sz w:val="20"/>
          <w:lang w:val="en-US" w:eastAsia="zh-CN"/>
        </w:rPr>
        <w:t>.</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S</w:t>
      </w:r>
      <w:r>
        <w:rPr>
          <w:rFonts w:hint="default" w:ascii="Times New Roman" w:hAnsi="Times New Roman" w:cs="Times New Roman"/>
          <w:sz w:val="20"/>
          <w:lang w:val="en-US" w:eastAsia="zh-CN"/>
        </w:rPr>
        <w:t xml:space="preserve">o </w:t>
      </w:r>
      <w:r>
        <w:rPr>
          <w:rFonts w:hint="default" w:ascii="Times New Roman" w:hAnsi="Times New Roman" w:cs="Times New Roman"/>
          <w:sz w:val="20"/>
          <w:lang w:eastAsia="zh-CN"/>
        </w:rPr>
        <w:t>enabling/disabling</w:t>
      </w:r>
      <w:r>
        <w:rPr>
          <w:rFonts w:hint="default" w:ascii="Times New Roman" w:hAnsi="Times New Roman" w:cs="Times New Roman"/>
          <w:sz w:val="20"/>
          <w:lang w:val="en-US" w:eastAsia="zh-CN"/>
        </w:rPr>
        <w:t xml:space="preserve"> HARQ feedback per HARQ process may not</w:t>
      </w:r>
      <w:r>
        <w:rPr>
          <w:rFonts w:hint="eastAsia" w:ascii="Times New Roman" w:hAnsi="Times New Roman" w:cs="Times New Roman"/>
          <w:sz w:val="20"/>
          <w:lang w:val="en-US" w:eastAsia="zh-CN"/>
        </w:rPr>
        <w:t xml:space="preserve"> be</w:t>
      </w:r>
      <w:r>
        <w:rPr>
          <w:rFonts w:hint="default" w:ascii="Times New Roman" w:hAnsi="Times New Roman" w:cs="Times New Roman"/>
          <w:sz w:val="20"/>
          <w:lang w:val="en-US" w:eastAsia="zh-CN"/>
        </w:rPr>
        <w:t xml:space="preserve"> suitable for NB-IoT</w:t>
      </w:r>
      <w:r>
        <w:rPr>
          <w:rFonts w:hint="eastAsia" w:ascii="Times New Roman" w:hAnsi="Times New Roman" w:cs="Times New Roman"/>
          <w:sz w:val="20"/>
          <w:lang w:val="en-US" w:eastAsia="zh-CN"/>
        </w:rPr>
        <w:t xml:space="preserve"> as there maybe only 1 HARQ process. D</w:t>
      </w:r>
      <w:r>
        <w:rPr>
          <w:rFonts w:hint="default" w:ascii="Times New Roman" w:hAnsi="Times New Roman" w:cs="Times New Roman"/>
          <w:sz w:val="20"/>
          <w:lang w:eastAsia="ja-JP"/>
        </w:rPr>
        <w:t xml:space="preserve">isabling HARQ feedback will prevent the eNB from knowing if </w:t>
      </w:r>
      <w:r>
        <w:rPr>
          <w:rFonts w:hint="eastAsia" w:ascii="Times New Roman" w:hAnsi="Times New Roman" w:cs="Times New Roman"/>
          <w:sz w:val="20"/>
          <w:lang w:val="en-US" w:eastAsia="zh-CN"/>
        </w:rPr>
        <w:t xml:space="preserve">some important signing </w:t>
      </w:r>
      <w:r>
        <w:rPr>
          <w:rFonts w:hint="default" w:ascii="Times New Roman" w:hAnsi="Times New Roman" w:cs="Times New Roman"/>
          <w:sz w:val="20"/>
          <w:lang w:eastAsia="ja-JP"/>
        </w:rPr>
        <w:t>has been received by the UE</w:t>
      </w:r>
      <w:r>
        <w:rPr>
          <w:rFonts w:hint="eastAsia" w:ascii="Times New Roman" w:hAnsi="Times New Roman" w:eastAsia="宋体" w:cs="Times New Roman"/>
          <w:sz w:val="20"/>
          <w:lang w:val="en-US" w:eastAsia="zh-CN"/>
        </w:rPr>
        <w:t>,</w:t>
      </w:r>
      <w:r>
        <w:rPr>
          <w:rFonts w:hint="eastAsia" w:ascii="Times New Roman" w:hAnsi="Times New Roman" w:cs="Times New Roman"/>
          <w:sz w:val="20"/>
          <w:lang w:val="en-US" w:eastAsia="zh-CN"/>
        </w:rPr>
        <w:t xml:space="preserve"> which will cause state mismatch between UE and NW, so </w:t>
      </w:r>
      <w:r>
        <w:rPr>
          <w:rFonts w:hint="default" w:ascii="Times New Roman" w:hAnsi="Times New Roman" w:cs="Times New Roman"/>
          <w:sz w:val="20"/>
          <w:lang w:val="en-US" w:eastAsia="zh-CN"/>
        </w:rPr>
        <w:t xml:space="preserve">other options may be need to </w:t>
      </w:r>
      <w:r>
        <w:rPr>
          <w:rFonts w:hint="eastAsia" w:ascii="Times New Roman" w:hAnsi="Times New Roman" w:cs="Times New Roman"/>
          <w:sz w:val="20"/>
          <w:lang w:val="en-US" w:eastAsia="zh-CN"/>
        </w:rPr>
        <w:t>be investigated</w:t>
      </w:r>
      <w:r>
        <w:rPr>
          <w:rFonts w:hint="default" w:ascii="Times New Roman" w:hAnsi="Times New Roman" w:cs="Times New Roman"/>
          <w:sz w:val="20"/>
          <w:lang w:val="en-US" w:eastAsia="zh-CN"/>
        </w:rPr>
        <w:t xml:space="preserve"> for NB-IoT</w:t>
      </w:r>
      <w:r>
        <w:rPr>
          <w:rFonts w:hint="eastAsia" w:ascii="Times New Roman" w:hAnsi="Times New Roman" w:cs="Times New Roman"/>
          <w:sz w:val="20"/>
          <w:lang w:val="en-US" w:eastAsia="zh-CN"/>
        </w:rPr>
        <w:t xml:space="preserve"> with only 1 HARQ process</w:t>
      </w:r>
      <w:r>
        <w:rPr>
          <w:rFonts w:hint="default" w:ascii="Times New Roman" w:hAnsi="Times New Roman" w:cs="Times New Roman"/>
          <w:sz w:val="20"/>
          <w:lang w:val="en-US" w:eastAsia="zh-CN"/>
        </w:rPr>
        <w:t>.</w:t>
      </w:r>
      <w:r>
        <w:rPr>
          <w:rFonts w:hint="eastAsia" w:ascii="Times New Roman" w:hAnsi="Times New Roman" w:cs="Times New Roman"/>
          <w:sz w:val="20"/>
          <w:lang w:val="en-US" w:eastAsia="zh-CN"/>
        </w:rPr>
        <w:t xml:space="preserve"> Repetition transmission has been introduced for NB-IoT to enhance coverage. As repetition is some kind of downlink retransmission and UE ensures the reliability of downlink transmission by merging all repetition demodulations. In the same channel condition, the higher repetition is, the better the reliability is. Therefore, NW can decide whether to disable HARQ feedback based on the downlink scheduled repetitions. On the other hand, the HARQ stalling in NTN is caused by the long propagation time between the UE and the eNB. The long propagation time of UE is reflected in the parameter Koffset which is UE specific and adjusted by NW, if the propagation time is not long then the HARQ stalling may not exists, so the Koffset can be a factor to decide whether enable/disable HARQ feedback.</w:t>
      </w:r>
    </w:p>
    <w:p>
      <w:pPr>
        <w:numPr>
          <w:ilvl w:val="0"/>
          <w:numId w:val="0"/>
        </w:numPr>
        <w:ind w:leftChars="0"/>
        <w:jc w:val="both"/>
        <w:rPr>
          <w:rFonts w:hint="default" w:eastAsia="宋体"/>
          <w:lang w:val="en-US" w:eastAsia="zh-CN"/>
        </w:rPr>
      </w:pPr>
    </w:p>
    <w:p>
      <w:pPr>
        <w:pStyle w:val="17"/>
        <w:numPr>
          <w:ilvl w:val="0"/>
          <w:numId w:val="6"/>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Re-use the solutions introduced in Rel-17 NR NTN</w:t>
      </w:r>
      <w:r>
        <w:rPr>
          <w:rFonts w:hint="eastAsia" w:ascii="Times New Roman" w:hAnsi="Times New Roman" w:cs="Times New Roman"/>
          <w:sz w:val="20"/>
          <w:szCs w:val="20"/>
          <w:lang w:val="en-US" w:eastAsia="zh-CN"/>
        </w:rPr>
        <w:t xml:space="preserve">, i.e. </w:t>
      </w:r>
      <w:r>
        <w:rPr>
          <w:rFonts w:hint="default" w:ascii="Times New Roman" w:hAnsi="Times New Roman" w:cs="Times New Roman"/>
          <w:sz w:val="20"/>
          <w:szCs w:val="20"/>
          <w:lang w:val="en-US" w:eastAsia="zh-CN"/>
        </w:rPr>
        <w:t xml:space="preserve">per HARQ process via UE specific RRC signaling on HARQ feedback </w:t>
      </w:r>
      <w:r>
        <w:rPr>
          <w:rFonts w:hint="default" w:ascii="Times New Roman" w:hAnsi="Times New Roman" w:cs="Times New Roman"/>
          <w:szCs w:val="20"/>
          <w:lang w:eastAsia="zh-CN"/>
        </w:rPr>
        <w:t>enabling/disabling</w:t>
      </w:r>
      <w:r>
        <w:rPr>
          <w:rFonts w:hint="default" w:ascii="Times New Roman" w:hAnsi="Times New Roman" w:cs="Times New Roman"/>
          <w:sz w:val="20"/>
          <w:szCs w:val="20"/>
          <w:lang w:val="en-US" w:eastAsia="zh-CN"/>
        </w:rPr>
        <w:t xml:space="preserve"> for downlink transmission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for eMTC as a baseline, minimum necessary changes to adapt them to eMTC.</w:t>
      </w:r>
    </w:p>
    <w:p>
      <w:pPr>
        <w:pStyle w:val="17"/>
        <w:numPr>
          <w:ilvl w:val="0"/>
          <w:numId w:val="6"/>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Cs w:val="20"/>
          <w:lang w:val="en-US" w:eastAsia="zh-CN"/>
        </w:rPr>
        <w:t>E</w:t>
      </w:r>
      <w:r>
        <w:rPr>
          <w:rFonts w:hint="default" w:ascii="Times New Roman" w:hAnsi="Times New Roman" w:cs="Times New Roman"/>
          <w:szCs w:val="20"/>
          <w:lang w:eastAsia="zh-CN"/>
        </w:rPr>
        <w:t>nabling/disabling</w:t>
      </w:r>
      <w:r>
        <w:rPr>
          <w:rFonts w:hint="default" w:ascii="Times New Roman" w:hAnsi="Times New Roman" w:cs="Times New Roman"/>
          <w:sz w:val="20"/>
          <w:szCs w:val="20"/>
          <w:lang w:val="en-US" w:eastAsia="zh-CN"/>
        </w:rPr>
        <w:t xml:space="preserve"> HARQ feedback per HARQ process may not suitable for NB-IoT, RAN2 need to study other options</w:t>
      </w:r>
      <w:r>
        <w:rPr>
          <w:rFonts w:hint="eastAsia" w:ascii="Times New Roman" w:hAnsi="Times New Roman" w:cs="Times New Roman"/>
          <w:sz w:val="20"/>
          <w:szCs w:val="20"/>
          <w:lang w:val="en-US" w:eastAsia="zh-CN"/>
        </w:rPr>
        <w:t xml:space="preserve"> e.g. based on downlink repetition or Koffset.</w:t>
      </w:r>
    </w:p>
    <w:p>
      <w:pPr>
        <w:pStyle w:val="17"/>
        <w:numPr>
          <w:ilvl w:val="0"/>
          <w:numId w:val="0"/>
        </w:numPr>
        <w:overflowPunct/>
        <w:autoSpaceDE/>
        <w:autoSpaceDN/>
        <w:adjustRightInd/>
        <w:spacing w:before="40" w:line="259" w:lineRule="auto"/>
        <w:jc w:val="both"/>
        <w:textAlignment w:val="auto"/>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disabling of HARQ feedback</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17"/>
        <w:numPr>
          <w:ilvl w:val="0"/>
          <w:numId w:val="7"/>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Re-use the solutions introduced in Rel-17 NR NTN</w:t>
      </w:r>
      <w:r>
        <w:rPr>
          <w:rFonts w:hint="eastAsia" w:ascii="Times New Roman" w:hAnsi="Times New Roman" w:cs="Times New Roman"/>
          <w:sz w:val="20"/>
          <w:szCs w:val="20"/>
          <w:lang w:val="en-US" w:eastAsia="zh-CN"/>
        </w:rPr>
        <w:t xml:space="preserve">, i.e. </w:t>
      </w:r>
      <w:r>
        <w:rPr>
          <w:rFonts w:hint="default" w:ascii="Times New Roman" w:hAnsi="Times New Roman" w:cs="Times New Roman"/>
          <w:sz w:val="20"/>
          <w:szCs w:val="20"/>
          <w:lang w:val="en-US" w:eastAsia="zh-CN"/>
        </w:rPr>
        <w:t xml:space="preserve">per HARQ process via UE specific RRC signaling on HARQ feedback </w:t>
      </w:r>
      <w:r>
        <w:rPr>
          <w:rFonts w:hint="default" w:ascii="Times New Roman" w:hAnsi="Times New Roman" w:cs="Times New Roman"/>
          <w:szCs w:val="20"/>
          <w:lang w:eastAsia="zh-CN"/>
        </w:rPr>
        <w:t>enabling/disabling</w:t>
      </w:r>
      <w:r>
        <w:rPr>
          <w:rFonts w:hint="default" w:ascii="Times New Roman" w:hAnsi="Times New Roman" w:cs="Times New Roman"/>
          <w:sz w:val="20"/>
          <w:szCs w:val="20"/>
          <w:lang w:val="en-US" w:eastAsia="zh-CN"/>
        </w:rPr>
        <w:t xml:space="preserve"> for downlink transmission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for eMTC as a baseline, minimum necessary changes to adapt them to eMTC.</w:t>
      </w:r>
    </w:p>
    <w:p>
      <w:pPr>
        <w:pStyle w:val="17"/>
        <w:numPr>
          <w:ilvl w:val="0"/>
          <w:numId w:val="7"/>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Cs w:val="20"/>
          <w:lang w:val="en-US" w:eastAsia="zh-CN"/>
        </w:rPr>
        <w:t>E</w:t>
      </w:r>
      <w:r>
        <w:rPr>
          <w:rFonts w:hint="default" w:ascii="Times New Roman" w:hAnsi="Times New Roman" w:cs="Times New Roman"/>
          <w:szCs w:val="20"/>
          <w:lang w:eastAsia="zh-CN"/>
        </w:rPr>
        <w:t>nabling/disabling</w:t>
      </w:r>
      <w:r>
        <w:rPr>
          <w:rFonts w:hint="default" w:ascii="Times New Roman" w:hAnsi="Times New Roman" w:cs="Times New Roman"/>
          <w:sz w:val="20"/>
          <w:szCs w:val="20"/>
          <w:lang w:val="en-US" w:eastAsia="zh-CN"/>
        </w:rPr>
        <w:t xml:space="preserve"> HARQ feedback per HARQ process may not suitable for NB-IoT, RAN2 need to study other options</w:t>
      </w:r>
      <w:r>
        <w:rPr>
          <w:rFonts w:hint="eastAsia" w:ascii="Times New Roman" w:hAnsi="Times New Roman" w:cs="Times New Roman"/>
          <w:sz w:val="20"/>
          <w:szCs w:val="20"/>
          <w:lang w:val="en-US" w:eastAsia="zh-CN"/>
        </w:rPr>
        <w:t xml:space="preserve"> e.g. based on downlink repetition or Koffset.</w:t>
      </w:r>
    </w:p>
    <w:p>
      <w:pPr>
        <w:jc w:val="both"/>
        <w:rPr>
          <w:rFonts w:hint="default" w:ascii="Times New Roman" w:hAnsi="Times New Roman" w:cs="Times New Roman"/>
          <w:color w:val="000000" w:themeColor="text1"/>
          <w:lang w:val="en-US"/>
          <w14:textFill>
            <w14:solidFill>
              <w14:schemeClr w14:val="tx1"/>
            </w14:solidFill>
          </w14:textFill>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8"/>
        </w:numPr>
        <w:spacing w:after="0"/>
        <w:jc w:val="both"/>
        <w:rPr>
          <w:rFonts w:cs="Arial"/>
          <w:sz w:val="22"/>
          <w:szCs w:val="22"/>
        </w:rPr>
      </w:pPr>
      <w:r>
        <w:rPr>
          <w:rFonts w:cs="Arial"/>
          <w:sz w:val="22"/>
          <w:szCs w:val="22"/>
        </w:rPr>
        <w:t xml:space="preserve"> “</w:t>
      </w:r>
      <w:r>
        <w:rPr>
          <w:rFonts w:hint="eastAsia" w:cs="Arial"/>
          <w:sz w:val="22"/>
          <w:szCs w:val="22"/>
        </w:rPr>
        <w:t>3GPP TR 38.821 V16.1.0</w:t>
      </w:r>
      <w:r>
        <w:rPr>
          <w:rFonts w:cs="Arial"/>
          <w:sz w:val="22"/>
          <w:szCs w:val="22"/>
        </w:rPr>
        <w:t>”</w:t>
      </w:r>
    </w:p>
    <w:p>
      <w:pPr>
        <w:pStyle w:val="6"/>
        <w:numPr>
          <w:ilvl w:val="0"/>
          <w:numId w:val="8"/>
        </w:numPr>
        <w:spacing w:after="0"/>
        <w:jc w:val="both"/>
        <w:rPr>
          <w:rFonts w:hint="default"/>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“Draft_Minutes_report_RAN1#109-e_v030.docx”</w:t>
      </w:r>
    </w:p>
    <w:p>
      <w:pPr>
        <w:pStyle w:val="6"/>
        <w:numPr>
          <w:ilvl w:val="0"/>
          <w:numId w:val="8"/>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“RP-221806</w:t>
      </w:r>
      <w:r>
        <w:rPr>
          <w:rFonts w:hint="eastAsia" w:eastAsia="宋体" w:cs="Arial"/>
          <w:sz w:val="22"/>
          <w:szCs w:val="22"/>
          <w:lang w:val="en-US" w:eastAsia="zh-CN"/>
        </w:rPr>
        <w:t xml:space="preserve"> Revised WID on IoT NTN enhancements</w:t>
      </w:r>
      <w:r>
        <w:rPr>
          <w:rFonts w:hint="default" w:eastAsia="宋体" w:cs="Arial"/>
          <w:sz w:val="22"/>
          <w:szCs w:val="22"/>
          <w:lang w:val="en-US" w:eastAsia="zh-CN"/>
        </w:rPr>
        <w:t>”</w:t>
      </w:r>
    </w:p>
    <w:p>
      <w:pPr>
        <w:pStyle w:val="6"/>
        <w:numPr>
          <w:ilvl w:val="0"/>
          <w:numId w:val="8"/>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w:t>
      </w:r>
      <w:r>
        <w:rPr>
          <w:rFonts w:hint="default"/>
          <w:sz w:val="21"/>
          <w:lang w:val="en-US"/>
        </w:rPr>
        <w:t>3GPP TS 38.300 V17.1.0</w:t>
      </w:r>
      <w:r>
        <w:rPr>
          <w:rFonts w:hint="default" w:eastAsia="宋体"/>
          <w:sz w:val="21"/>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DB23A"/>
    <w:multiLevelType w:val="multilevel"/>
    <w:tmpl w:val="C26DB23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A70276C"/>
    <w:multiLevelType w:val="multilevel"/>
    <w:tmpl w:val="0A7027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6">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5"/>
  </w:num>
  <w:num w:numId="3">
    <w:abstractNumId w:val="6"/>
  </w:num>
  <w:num w:numId="4">
    <w:abstractNumId w:val="2"/>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4BA00BC"/>
    <w:rsid w:val="05A17499"/>
    <w:rsid w:val="05F02177"/>
    <w:rsid w:val="06AD14D1"/>
    <w:rsid w:val="074434AD"/>
    <w:rsid w:val="077E1DF5"/>
    <w:rsid w:val="08705469"/>
    <w:rsid w:val="0871778C"/>
    <w:rsid w:val="09242B66"/>
    <w:rsid w:val="09AA20D3"/>
    <w:rsid w:val="09C8159B"/>
    <w:rsid w:val="0A083CCF"/>
    <w:rsid w:val="0A296EBB"/>
    <w:rsid w:val="0C480592"/>
    <w:rsid w:val="0C8B3F6C"/>
    <w:rsid w:val="0CD62152"/>
    <w:rsid w:val="0CDF38AA"/>
    <w:rsid w:val="0D701E08"/>
    <w:rsid w:val="0DAF7C6F"/>
    <w:rsid w:val="0F054467"/>
    <w:rsid w:val="0F555789"/>
    <w:rsid w:val="0F711142"/>
    <w:rsid w:val="0F846F16"/>
    <w:rsid w:val="10664121"/>
    <w:rsid w:val="10D97A01"/>
    <w:rsid w:val="110E3FBC"/>
    <w:rsid w:val="1259446D"/>
    <w:rsid w:val="12CA4226"/>
    <w:rsid w:val="134C4354"/>
    <w:rsid w:val="13D7274C"/>
    <w:rsid w:val="142030D3"/>
    <w:rsid w:val="151764BF"/>
    <w:rsid w:val="166A6E0A"/>
    <w:rsid w:val="16FF7648"/>
    <w:rsid w:val="172B15A5"/>
    <w:rsid w:val="17AE7B7C"/>
    <w:rsid w:val="18891BE5"/>
    <w:rsid w:val="18C4408C"/>
    <w:rsid w:val="19033124"/>
    <w:rsid w:val="190C3624"/>
    <w:rsid w:val="192B61EE"/>
    <w:rsid w:val="19FC3902"/>
    <w:rsid w:val="1B166347"/>
    <w:rsid w:val="1B4F2E04"/>
    <w:rsid w:val="1B7F05AA"/>
    <w:rsid w:val="1D5C422C"/>
    <w:rsid w:val="1D72553F"/>
    <w:rsid w:val="1DB61295"/>
    <w:rsid w:val="1E837BE2"/>
    <w:rsid w:val="1FF75154"/>
    <w:rsid w:val="21272772"/>
    <w:rsid w:val="217D10FE"/>
    <w:rsid w:val="218C3C37"/>
    <w:rsid w:val="21DC5F44"/>
    <w:rsid w:val="22ED4EA9"/>
    <w:rsid w:val="2307366B"/>
    <w:rsid w:val="2311372E"/>
    <w:rsid w:val="23313175"/>
    <w:rsid w:val="253A0CB4"/>
    <w:rsid w:val="253F3B36"/>
    <w:rsid w:val="255A0D1D"/>
    <w:rsid w:val="258E2521"/>
    <w:rsid w:val="25BC78D5"/>
    <w:rsid w:val="25C95136"/>
    <w:rsid w:val="25DF25F3"/>
    <w:rsid w:val="2653352F"/>
    <w:rsid w:val="26F5334E"/>
    <w:rsid w:val="27264053"/>
    <w:rsid w:val="273F71A1"/>
    <w:rsid w:val="299E3F8A"/>
    <w:rsid w:val="2ABE6C52"/>
    <w:rsid w:val="2ABF7B59"/>
    <w:rsid w:val="2B1B574F"/>
    <w:rsid w:val="2C151E25"/>
    <w:rsid w:val="2CFD6180"/>
    <w:rsid w:val="2EDC2122"/>
    <w:rsid w:val="2F4B1662"/>
    <w:rsid w:val="2F4F1C42"/>
    <w:rsid w:val="2FCB0EFA"/>
    <w:rsid w:val="306127E8"/>
    <w:rsid w:val="315E520F"/>
    <w:rsid w:val="31834D9A"/>
    <w:rsid w:val="319D2E0A"/>
    <w:rsid w:val="31F027DF"/>
    <w:rsid w:val="33DE5E56"/>
    <w:rsid w:val="34682BF9"/>
    <w:rsid w:val="34FC34CD"/>
    <w:rsid w:val="35E46369"/>
    <w:rsid w:val="36913EB9"/>
    <w:rsid w:val="36E43987"/>
    <w:rsid w:val="37F326F9"/>
    <w:rsid w:val="38263F63"/>
    <w:rsid w:val="38277C4F"/>
    <w:rsid w:val="387554D3"/>
    <w:rsid w:val="3885080A"/>
    <w:rsid w:val="38A038DB"/>
    <w:rsid w:val="38AA0169"/>
    <w:rsid w:val="38D03727"/>
    <w:rsid w:val="39E010B6"/>
    <w:rsid w:val="3A7C338E"/>
    <w:rsid w:val="3B7F12E7"/>
    <w:rsid w:val="3BD561D8"/>
    <w:rsid w:val="3BE31C32"/>
    <w:rsid w:val="3C752CAA"/>
    <w:rsid w:val="3C93695A"/>
    <w:rsid w:val="3F3A2108"/>
    <w:rsid w:val="402D6EED"/>
    <w:rsid w:val="40572BA6"/>
    <w:rsid w:val="40575782"/>
    <w:rsid w:val="41A229C0"/>
    <w:rsid w:val="421B5540"/>
    <w:rsid w:val="425416AD"/>
    <w:rsid w:val="427F40C3"/>
    <w:rsid w:val="440B0F36"/>
    <w:rsid w:val="44724F1D"/>
    <w:rsid w:val="448E1E9E"/>
    <w:rsid w:val="44D90FC8"/>
    <w:rsid w:val="44DD285F"/>
    <w:rsid w:val="45982D3F"/>
    <w:rsid w:val="464F3F3D"/>
    <w:rsid w:val="466B78DE"/>
    <w:rsid w:val="47755220"/>
    <w:rsid w:val="47B61984"/>
    <w:rsid w:val="48224C4E"/>
    <w:rsid w:val="482C1964"/>
    <w:rsid w:val="4A212B31"/>
    <w:rsid w:val="4A475B7C"/>
    <w:rsid w:val="4A892E1A"/>
    <w:rsid w:val="4BA75289"/>
    <w:rsid w:val="4CA501B4"/>
    <w:rsid w:val="4CEB6606"/>
    <w:rsid w:val="4DE56289"/>
    <w:rsid w:val="4EF2504D"/>
    <w:rsid w:val="4FC5637B"/>
    <w:rsid w:val="4FE74116"/>
    <w:rsid w:val="512637BE"/>
    <w:rsid w:val="51292B01"/>
    <w:rsid w:val="512C578B"/>
    <w:rsid w:val="53EA6F9A"/>
    <w:rsid w:val="53F070C1"/>
    <w:rsid w:val="545D2BA8"/>
    <w:rsid w:val="54A934E9"/>
    <w:rsid w:val="55A2780D"/>
    <w:rsid w:val="55B4202C"/>
    <w:rsid w:val="5A0B65E0"/>
    <w:rsid w:val="5A6C32D7"/>
    <w:rsid w:val="5C1826CA"/>
    <w:rsid w:val="5C5D662E"/>
    <w:rsid w:val="5D53233E"/>
    <w:rsid w:val="5E032063"/>
    <w:rsid w:val="5E3C4F06"/>
    <w:rsid w:val="5EE34F16"/>
    <w:rsid w:val="5EF55435"/>
    <w:rsid w:val="5FBE6E63"/>
    <w:rsid w:val="60507E6D"/>
    <w:rsid w:val="60D32568"/>
    <w:rsid w:val="61B805F3"/>
    <w:rsid w:val="61CC249D"/>
    <w:rsid w:val="6227137B"/>
    <w:rsid w:val="64082F38"/>
    <w:rsid w:val="643816EF"/>
    <w:rsid w:val="6442112C"/>
    <w:rsid w:val="646D6FF1"/>
    <w:rsid w:val="64E400F0"/>
    <w:rsid w:val="655855F6"/>
    <w:rsid w:val="65C620D8"/>
    <w:rsid w:val="668F0881"/>
    <w:rsid w:val="66EE5EB2"/>
    <w:rsid w:val="66FD4B63"/>
    <w:rsid w:val="67501472"/>
    <w:rsid w:val="6770270C"/>
    <w:rsid w:val="67E57609"/>
    <w:rsid w:val="68136DF9"/>
    <w:rsid w:val="68467009"/>
    <w:rsid w:val="685A4CFC"/>
    <w:rsid w:val="68835C7D"/>
    <w:rsid w:val="68843869"/>
    <w:rsid w:val="68B056ED"/>
    <w:rsid w:val="68D74AB5"/>
    <w:rsid w:val="69957377"/>
    <w:rsid w:val="6A2A1BFB"/>
    <w:rsid w:val="6B230E25"/>
    <w:rsid w:val="6BBD35E1"/>
    <w:rsid w:val="6D186743"/>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541042C"/>
    <w:rsid w:val="755D5E57"/>
    <w:rsid w:val="758B55DE"/>
    <w:rsid w:val="75D904B6"/>
    <w:rsid w:val="774A77B5"/>
    <w:rsid w:val="77E058FB"/>
    <w:rsid w:val="78071F72"/>
    <w:rsid w:val="78774C15"/>
    <w:rsid w:val="78827AE1"/>
    <w:rsid w:val="799465E1"/>
    <w:rsid w:val="79D35A65"/>
    <w:rsid w:val="79DF4049"/>
    <w:rsid w:val="7A102ABD"/>
    <w:rsid w:val="7A2F2424"/>
    <w:rsid w:val="7B84483F"/>
    <w:rsid w:val="7BC539DF"/>
    <w:rsid w:val="7C1164A2"/>
    <w:rsid w:val="7C5B2870"/>
    <w:rsid w:val="7D876979"/>
    <w:rsid w:val="7DCB2B8A"/>
    <w:rsid w:val="7DDD21DB"/>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2022-08-10T01:57:13Z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